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FD767D" w:rsidRPr="0089702C" w:rsidTr="001A5EE3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7D" w:rsidRPr="00A11AFC" w:rsidRDefault="00FD767D" w:rsidP="001A5EE3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A11AFC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PROGRAMA:</w:t>
            </w: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D5238" w:rsidRPr="00A11AFC" w:rsidRDefault="006D5238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C6425A" w:rsidRDefault="00C6425A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060D9" w:rsidRDefault="00E060D9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35B06" w:rsidRDefault="00435B06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1136E" w:rsidRPr="00A11AFC" w:rsidRDefault="00F1136E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11AFC">
              <w:rPr>
                <w:rFonts w:ascii="Arial Narrow" w:hAnsi="Arial Narrow"/>
                <w:bCs/>
                <w:sz w:val="22"/>
                <w:szCs w:val="22"/>
              </w:rPr>
              <w:t>POKAZATELJI USPJEŠNOSTI:</w:t>
            </w: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:rsidR="00F47EB9" w:rsidRPr="00F47EB9" w:rsidRDefault="00F47EB9" w:rsidP="00F47EB9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F47EB9">
              <w:rPr>
                <w:rFonts w:ascii="Arial Narrow" w:hAnsi="Arial Narrow"/>
                <w:caps/>
                <w:sz w:val="22"/>
                <w:szCs w:val="22"/>
              </w:rPr>
              <w:t>SREDNJA ŠKOLA LOVRE MONTIJA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F47EB9" w:rsidRPr="00F47EB9" w:rsidRDefault="00F47EB9" w:rsidP="00F47EB9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F47EB9" w:rsidRDefault="00F47EB9" w:rsidP="00F47EB9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D5238" w:rsidRPr="00886CF7" w:rsidRDefault="006D5238" w:rsidP="006D5238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2023./24.,</w:t>
            </w:r>
          </w:p>
          <w:p w:rsidR="006D5238" w:rsidRPr="0089702C" w:rsidRDefault="006D5238" w:rsidP="006D5238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2023./24</w:t>
            </w:r>
          </w:p>
          <w:p w:rsidR="006D5238" w:rsidRPr="0089702C" w:rsidRDefault="006D5238" w:rsidP="006D5238">
            <w:pPr>
              <w:rPr>
                <w:sz w:val="20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Default="006D5238" w:rsidP="001A5EE3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Izvori sredstava za financiranje rada</w:t>
            </w:r>
            <w:r>
              <w:rPr>
                <w:rFonts w:ascii="Arial Narrow" w:hAnsi="Arial Narrow"/>
              </w:rPr>
              <w:t xml:space="preserve"> su:</w:t>
            </w:r>
          </w:p>
          <w:p w:rsidR="006D5238" w:rsidRPr="00A11AFC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64219A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Opći prihodi i primici, skupina 671 sredstva Županije za natjecanja učenika;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za decentralizirane funkcije, skupina 671 materijalni i financijski rashodi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671 Zajedno do znanja uz više elana V i V</w:t>
            </w:r>
            <w:r w:rsidR="00D70DAB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>, FN Elektrana Lokalni izvori čiste energije-oprema</w:t>
            </w:r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Predfinanciranje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EU projekta iz sredstava ŠKŽ skupina 63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Erasmus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+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new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values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democracy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in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today</w:t>
            </w:r>
            <w:proofErr w:type="spellEnd"/>
            <w:r w:rsidR="00674DC5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="00674DC5">
              <w:rPr>
                <w:rFonts w:ascii="Arial Narrow" w:hAnsi="Arial Narrow"/>
                <w:sz w:val="22"/>
                <w:szCs w:val="22"/>
              </w:rPr>
              <w:t>europe</w:t>
            </w:r>
            <w:proofErr w:type="spellEnd"/>
          </w:p>
          <w:p w:rsidR="006D5238" w:rsidRDefault="006D5238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Redovita djelatnost, skupina 636, državni proračun /MZO</w:t>
            </w:r>
            <w:r w:rsidR="00EF4A29"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Sredstva posebne namjene, skupina 652 – strogo namjenska sredstva za održavanje i poboljšanje učeničkog standarda</w:t>
            </w:r>
          </w:p>
          <w:p w:rsidR="00EF4A29" w:rsidRDefault="00EF4A29" w:rsidP="001A5EE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Vlastiti prihodi, skupina 661 –namjenska za poboljšanje učeničkog standarda</w:t>
            </w:r>
          </w:p>
          <w:p w:rsidR="00435B06" w:rsidRDefault="00435B06" w:rsidP="00435B06">
            <w:pPr>
              <w:rPr>
                <w:rFonts w:ascii="Arial Narrow" w:hAnsi="Arial Narrow"/>
                <w:sz w:val="22"/>
                <w:szCs w:val="22"/>
              </w:rPr>
            </w:pPr>
            <w:r w:rsidRPr="00435B06">
              <w:rPr>
                <w:rFonts w:ascii="Arial Narrow" w:hAnsi="Arial Narrow" w:cs="Arial-Bold+1"/>
                <w:bCs/>
                <w:sz w:val="22"/>
                <w:szCs w:val="22"/>
                <w:lang w:eastAsia="hr-HR"/>
              </w:rPr>
              <w:t>Pomoći iz inozemstva i od subjekata unutar općeg proračuna</w:t>
            </w:r>
            <w:r w:rsidRPr="00435B06">
              <w:rPr>
                <w:rFonts w:ascii="Arial Narrow" w:hAnsi="Arial Narrow"/>
                <w:sz w:val="22"/>
                <w:szCs w:val="22"/>
              </w:rPr>
              <w:t xml:space="preserve"> Skupina 639</w:t>
            </w:r>
            <w:r>
              <w:rPr>
                <w:rFonts w:ascii="Arial Narrow" w:hAnsi="Arial Narrow"/>
                <w:sz w:val="22"/>
                <w:szCs w:val="22"/>
              </w:rPr>
              <w:t xml:space="preserve"> FN Elektrana Lokalni izvori čiste energije – oprema</w:t>
            </w:r>
          </w:p>
          <w:p w:rsidR="006D1D3A" w:rsidRDefault="006D1D3A" w:rsidP="00435B0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Pomoći iz proračuna 636 –projekt Eko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ninia</w:t>
            </w:r>
            <w:proofErr w:type="spellEnd"/>
            <w:r w:rsidR="009F4358">
              <w:rPr>
                <w:rFonts w:ascii="Arial Narrow" w:hAnsi="Arial Narrow"/>
                <w:sz w:val="22"/>
                <w:szCs w:val="22"/>
              </w:rPr>
              <w:t xml:space="preserve"> –od vrta do stola</w:t>
            </w:r>
          </w:p>
          <w:p w:rsidR="00FD767D" w:rsidRPr="00435B06" w:rsidRDefault="00FD767D" w:rsidP="00435B06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:rsidR="00FD767D" w:rsidRPr="00435B06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C6425A" w:rsidRPr="00A11AFC" w:rsidRDefault="00C6425A" w:rsidP="001A5EE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sz w:val="22"/>
                <w:szCs w:val="22"/>
              </w:rPr>
            </w:pPr>
            <w:r w:rsidRPr="00A11AFC">
              <w:rPr>
                <w:rFonts w:ascii="Arial Narrow" w:hAnsi="Arial Narrow"/>
                <w:sz w:val="22"/>
                <w:szCs w:val="22"/>
              </w:rPr>
              <w:lastRenderedPageBreak/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0"/>
              <w:gridCol w:w="2030"/>
              <w:gridCol w:w="1369"/>
              <w:gridCol w:w="1369"/>
              <w:gridCol w:w="1446"/>
            </w:tblGrid>
            <w:tr w:rsidR="0089702C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D70DA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D70DA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D70DA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D70DAB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89702C" w:rsidRPr="00A11AFC" w:rsidTr="00E23D9F">
              <w:trPr>
                <w:cantSplit/>
                <w:trHeight w:val="909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11AFC" w:rsidRDefault="00E060D9" w:rsidP="00E060D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1007-10 SREDNJOŠKOLSKO OBRAZOVANJE - STANDARD</w:t>
                  </w:r>
                  <w:r w:rsidR="0089702C" w:rsidRPr="00A11AFC">
                    <w:rPr>
                      <w:rFonts w:ascii="Arial Narrow" w:hAnsi="Arial Narrow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9093A" w:rsidRDefault="00A9093A" w:rsidP="000C7ED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9702C" w:rsidRPr="00A11AFC" w:rsidRDefault="00DC3457" w:rsidP="001A5EE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251.348,00</w:t>
                  </w:r>
                </w:p>
              </w:tc>
            </w:tr>
            <w:tr w:rsidR="003B1556" w:rsidRPr="00A11AFC" w:rsidTr="00E23D9F">
              <w:trPr>
                <w:cantSplit/>
                <w:trHeight w:val="332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1007-11 SREDNJEŠKOLSKO OBRAZOVANJE – OPERATIVNI PLAN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1007-12 PODIZANJE KVALITETE I STANDARDA KROZ AKTIVNOST ŠKOLA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3B1556" w:rsidRPr="00A9093A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39.048,00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1007-28 PRIJEVOZ UČENIKA S POTEŠKOĆAMA -SŠ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17.000,00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1007-30 RAD S DAROVITIMA -BIOKEMIJA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3.931.00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 1007-34 OPSKRBA ŠKOLSKIH USTANOVA BESPLATNIM ZALIHAMA MENSTRUALNIH HIGIJENSKIH POTREPŠTINA 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794,00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-ŠKŽ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1007-44 ERASMUS+ NEW VALUES OF DEMOCRACY IN TODAY S EUROPE –POMOĆI EU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32.318,00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1007-45 ŠKOLA ZA ŽIVOT KURIKULARNA REFORMA /SŠ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4.189,00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3.054,00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3.054,00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11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1007-46 ZAJEDNO DO ZNANJA UZ VIŠE ELANA VI –PREDFINANCIRANJE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5.188,00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5.188,00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REDOVITA DJELATNOST ŠKOLA (EVIDENCIJSKI PRIHODI)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1.231.519,00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1.356,350,00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1.356.350,00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1007-70 KAPITALNA ULAGANJA I NABAVA OPREME U SŠ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F71F4D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F71F4D">
                    <w:rPr>
                      <w:rFonts w:ascii="Arial Narrow" w:hAnsi="Arial Narrow"/>
                      <w:sz w:val="22"/>
                      <w:szCs w:val="22"/>
                    </w:rPr>
                    <w:t>174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10.226,00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1007-78 FN ELEKTRANA LOKALNI IZVORI ČISTE ENERGIJE–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57.947,00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V–OPĆI PRIHODI I PRIMICI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15.426,00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15.426,00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1007-79 ZAJEDNO DO ZNANJA UZ VIŠE ELANA V– PREDFINANCIRANJE ŠKŽ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9.873,00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1556" w:rsidRPr="00A11AFC" w:rsidRDefault="003B1556" w:rsidP="003B1556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1007-29 EKO NINIA – OD VRTA DO STOLA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4.000,00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3B1556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B1556" w:rsidRPr="00A11AFC" w:rsidTr="00E23D9F">
              <w:trPr>
                <w:cantSplit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556" w:rsidRPr="00A11AFC" w:rsidRDefault="003B1556" w:rsidP="003B1556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F71F4D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1.7</w:t>
                  </w:r>
                  <w:r w:rsidR="00880C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</w:t>
                  </w:r>
                  <w:r w:rsidR="00F71F4D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F71F4D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90</w:t>
                  </w:r>
                  <w:bookmarkStart w:id="0" w:name="_GoBack"/>
                  <w:bookmarkEnd w:id="0"/>
                  <w:r w:rsidR="00880C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B52881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1.67</w:t>
                  </w:r>
                  <w:r w:rsidR="00B52881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B52881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092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1556" w:rsidRPr="00A11AFC" w:rsidRDefault="003B1556" w:rsidP="00B52881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1.64</w:t>
                  </w:r>
                  <w:r w:rsidR="00B52881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B52881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551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14D3F" w:rsidRDefault="00E14D3F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438C1" w:rsidRDefault="004438C1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Cs/>
                      <w:sz w:val="22"/>
                      <w:szCs w:val="22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1A5EE3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11AFC" w:rsidRDefault="0089702C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11AFC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11AFC" w:rsidRDefault="0089702C" w:rsidP="00140929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140929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FD767D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767D" w:rsidRPr="00A11AFC" w:rsidRDefault="0089702C" w:rsidP="001A5EE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1. </w:t>
                  </w:r>
                  <w:r w:rsidR="00B56806">
                    <w:rPr>
                      <w:rFonts w:ascii="Arial Narrow" w:hAnsi="Arial Narrow"/>
                      <w:sz w:val="22"/>
                      <w:szCs w:val="22"/>
                    </w:rPr>
                    <w:t xml:space="preserve">Broj upisanih učenika 1 razreda 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767D" w:rsidRPr="00A11AFC" w:rsidRDefault="00A40CC4" w:rsidP="001A5EE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3F11B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najam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A40CC4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-prijevoz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40C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1020F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Broj učenika </w:t>
                  </w:r>
                  <w:r w:rsidR="001020FD">
                    <w:rPr>
                      <w:rFonts w:ascii="Arial Narrow" w:hAnsi="Arial Narrow"/>
                      <w:sz w:val="22"/>
                      <w:szCs w:val="22"/>
                    </w:rPr>
                    <w:t>–rad na projektu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4013C4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FC470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Broj učeni</w:t>
                  </w:r>
                  <w:r w:rsidR="00FC4707">
                    <w:rPr>
                      <w:rFonts w:ascii="Arial Narrow" w:hAnsi="Arial Narrow"/>
                      <w:sz w:val="22"/>
                      <w:szCs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a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A85A39" w:rsidP="006D15E8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6D15E8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–projekt 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="00BD6C01">
                    <w:rPr>
                      <w:rFonts w:ascii="Arial Narrow" w:hAnsi="Arial Narrow"/>
                      <w:sz w:val="22"/>
                      <w:szCs w:val="22"/>
                    </w:rPr>
                    <w:t xml:space="preserve">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BD6C01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52651E">
                    <w:rPr>
                      <w:rFonts w:ascii="Arial Narrow" w:hAnsi="Arial Narrow"/>
                      <w:sz w:val="22"/>
                      <w:szCs w:val="22"/>
                    </w:rPr>
                    <w:t>–projekt  10 učenika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52651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1-bit će realiziran do kraja godine 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52651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940918" w:rsidP="00C1222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Broj upisanih učenika 1 razreda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110979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940918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B31C66" w:rsidP="002B3610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2B3610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 w:rsidR="00110979"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3F11B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B31C66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  <w:r w:rsidR="00B31C66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6D15E8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F0251D" w:rsidP="00AA3A0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A3A0D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9E1D89" w:rsidP="00F0251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251D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95395C" w:rsidP="00DC1F9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DC1F95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djelatnika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95395C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BA4F73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BA4F73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0E2A0E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0E2A0E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 .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1-bit će realiziran do kraja godine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D15E8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E8" w:rsidRPr="00A11AFC" w:rsidRDefault="002C410A" w:rsidP="008062C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8062C5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15E8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2C410A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10A" w:rsidRPr="00A11AFC" w:rsidRDefault="002C410A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Broj asistenata za učenike planiranih u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šk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23/24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10A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3F11B3" w:rsidRPr="00A11AFC" w:rsidTr="001A5EE3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11B3" w:rsidRPr="00A11AFC" w:rsidRDefault="003F11B3" w:rsidP="009370D5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11AFC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C12227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9370D5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2C410A">
                    <w:rPr>
                      <w:rFonts w:ascii="Arial Narrow" w:hAnsi="Arial Narrow"/>
                      <w:sz w:val="22"/>
                      <w:szCs w:val="22"/>
                    </w:rPr>
                    <w:t>projekt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F06835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11B3" w:rsidRPr="00A11AFC" w:rsidRDefault="002C410A" w:rsidP="003F11B3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FD767D" w:rsidRPr="00A11AFC" w:rsidRDefault="00FD767D" w:rsidP="001A5EE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FD767D" w:rsidRPr="0089702C" w:rsidRDefault="00FD767D" w:rsidP="00EC3594">
      <w:pPr>
        <w:pStyle w:val="Podnoje"/>
      </w:pPr>
    </w:p>
    <w:sectPr w:rsidR="00FD767D" w:rsidRPr="0089702C" w:rsidSect="00A460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46" w:rsidRDefault="00FD5046">
      <w:r>
        <w:separator/>
      </w:r>
    </w:p>
  </w:endnote>
  <w:endnote w:type="continuationSeparator" w:id="0">
    <w:p w:rsidR="00FD5046" w:rsidRDefault="00FD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+1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46" w:rsidRDefault="00FD5046">
      <w:r>
        <w:separator/>
      </w:r>
    </w:p>
  </w:footnote>
  <w:footnote w:type="continuationSeparator" w:id="0">
    <w:p w:rsidR="00FD5046" w:rsidRDefault="00FD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4"/>
  </w:num>
  <w:num w:numId="4">
    <w:abstractNumId w:val="36"/>
  </w:num>
  <w:num w:numId="5">
    <w:abstractNumId w:val="16"/>
  </w:num>
  <w:num w:numId="6">
    <w:abstractNumId w:val="29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23"/>
  </w:num>
  <w:num w:numId="12">
    <w:abstractNumId w:val="31"/>
  </w:num>
  <w:num w:numId="13">
    <w:abstractNumId w:val="35"/>
  </w:num>
  <w:num w:numId="14">
    <w:abstractNumId w:val="20"/>
  </w:num>
  <w:num w:numId="15">
    <w:abstractNumId w:val="26"/>
  </w:num>
  <w:num w:numId="16">
    <w:abstractNumId w:val="34"/>
  </w:num>
  <w:num w:numId="17">
    <w:abstractNumId w:val="4"/>
  </w:num>
  <w:num w:numId="18">
    <w:abstractNumId w:val="8"/>
  </w:num>
  <w:num w:numId="19">
    <w:abstractNumId w:val="25"/>
  </w:num>
  <w:num w:numId="20">
    <w:abstractNumId w:val="0"/>
  </w:num>
  <w:num w:numId="21">
    <w:abstractNumId w:val="38"/>
  </w:num>
  <w:num w:numId="22">
    <w:abstractNumId w:val="37"/>
  </w:num>
  <w:num w:numId="23">
    <w:abstractNumId w:val="27"/>
  </w:num>
  <w:num w:numId="24">
    <w:abstractNumId w:val="11"/>
  </w:num>
  <w:num w:numId="25">
    <w:abstractNumId w:val="7"/>
  </w:num>
  <w:num w:numId="26">
    <w:abstractNumId w:val="19"/>
  </w:num>
  <w:num w:numId="27">
    <w:abstractNumId w:val="1"/>
  </w:num>
  <w:num w:numId="28">
    <w:abstractNumId w:val="9"/>
  </w:num>
  <w:num w:numId="29">
    <w:abstractNumId w:val="17"/>
  </w:num>
  <w:num w:numId="30">
    <w:abstractNumId w:val="30"/>
  </w:num>
  <w:num w:numId="31">
    <w:abstractNumId w:val="13"/>
  </w:num>
  <w:num w:numId="32">
    <w:abstractNumId w:val="10"/>
  </w:num>
  <w:num w:numId="33">
    <w:abstractNumId w:val="32"/>
  </w:num>
  <w:num w:numId="34">
    <w:abstractNumId w:val="28"/>
  </w:num>
  <w:num w:numId="35">
    <w:abstractNumId w:val="18"/>
  </w:num>
  <w:num w:numId="36">
    <w:abstractNumId w:val="21"/>
  </w:num>
  <w:num w:numId="37">
    <w:abstractNumId w:val="6"/>
  </w:num>
  <w:num w:numId="38">
    <w:abstractNumId w:val="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14EEF"/>
    <w:rsid w:val="000354D5"/>
    <w:rsid w:val="00043B56"/>
    <w:rsid w:val="00050B76"/>
    <w:rsid w:val="000C40AA"/>
    <w:rsid w:val="000C7EDA"/>
    <w:rsid w:val="000E2A0E"/>
    <w:rsid w:val="000F173C"/>
    <w:rsid w:val="001020FD"/>
    <w:rsid w:val="00110979"/>
    <w:rsid w:val="00116CEF"/>
    <w:rsid w:val="00121FAD"/>
    <w:rsid w:val="00140929"/>
    <w:rsid w:val="00156DF4"/>
    <w:rsid w:val="0016773B"/>
    <w:rsid w:val="001902EE"/>
    <w:rsid w:val="001A2918"/>
    <w:rsid w:val="001A5EE3"/>
    <w:rsid w:val="001B421F"/>
    <w:rsid w:val="001D2B57"/>
    <w:rsid w:val="001E06EF"/>
    <w:rsid w:val="00235D0F"/>
    <w:rsid w:val="00247B54"/>
    <w:rsid w:val="00266903"/>
    <w:rsid w:val="00267D44"/>
    <w:rsid w:val="002848F3"/>
    <w:rsid w:val="00287CDD"/>
    <w:rsid w:val="002A6F23"/>
    <w:rsid w:val="002B3610"/>
    <w:rsid w:val="002C410A"/>
    <w:rsid w:val="002D1FA7"/>
    <w:rsid w:val="002D74D9"/>
    <w:rsid w:val="00303759"/>
    <w:rsid w:val="003477FA"/>
    <w:rsid w:val="00357923"/>
    <w:rsid w:val="00381CBA"/>
    <w:rsid w:val="003A08B5"/>
    <w:rsid w:val="003A11F5"/>
    <w:rsid w:val="003A721E"/>
    <w:rsid w:val="003A7E43"/>
    <w:rsid w:val="003B1556"/>
    <w:rsid w:val="003D3782"/>
    <w:rsid w:val="003F11B3"/>
    <w:rsid w:val="00400B95"/>
    <w:rsid w:val="004013C4"/>
    <w:rsid w:val="00414B0E"/>
    <w:rsid w:val="00435B06"/>
    <w:rsid w:val="004405DA"/>
    <w:rsid w:val="004438C1"/>
    <w:rsid w:val="00453FB4"/>
    <w:rsid w:val="00464AE0"/>
    <w:rsid w:val="00473DCD"/>
    <w:rsid w:val="004B0638"/>
    <w:rsid w:val="004D3E0E"/>
    <w:rsid w:val="004E3EC6"/>
    <w:rsid w:val="00504C46"/>
    <w:rsid w:val="00520A35"/>
    <w:rsid w:val="0052651E"/>
    <w:rsid w:val="00540D1F"/>
    <w:rsid w:val="005428CD"/>
    <w:rsid w:val="00573F52"/>
    <w:rsid w:val="00574CEA"/>
    <w:rsid w:val="00593FB4"/>
    <w:rsid w:val="005A74CC"/>
    <w:rsid w:val="005C126B"/>
    <w:rsid w:val="005C25E7"/>
    <w:rsid w:val="005C6F89"/>
    <w:rsid w:val="005F245E"/>
    <w:rsid w:val="0060572F"/>
    <w:rsid w:val="0060789B"/>
    <w:rsid w:val="006133DE"/>
    <w:rsid w:val="0064219A"/>
    <w:rsid w:val="00674DC5"/>
    <w:rsid w:val="00683F0D"/>
    <w:rsid w:val="006D15E8"/>
    <w:rsid w:val="006D1D3A"/>
    <w:rsid w:val="006D5238"/>
    <w:rsid w:val="006E56CA"/>
    <w:rsid w:val="00717D20"/>
    <w:rsid w:val="00725D78"/>
    <w:rsid w:val="00752163"/>
    <w:rsid w:val="00754FFD"/>
    <w:rsid w:val="00760E46"/>
    <w:rsid w:val="007773AE"/>
    <w:rsid w:val="00786A4F"/>
    <w:rsid w:val="007A0196"/>
    <w:rsid w:val="007B13BA"/>
    <w:rsid w:val="007F6768"/>
    <w:rsid w:val="008062C5"/>
    <w:rsid w:val="00807421"/>
    <w:rsid w:val="00827C41"/>
    <w:rsid w:val="008370E7"/>
    <w:rsid w:val="00855C12"/>
    <w:rsid w:val="008620FA"/>
    <w:rsid w:val="00880CFC"/>
    <w:rsid w:val="00881859"/>
    <w:rsid w:val="00882177"/>
    <w:rsid w:val="00883B46"/>
    <w:rsid w:val="0089702C"/>
    <w:rsid w:val="008C2620"/>
    <w:rsid w:val="008C6AEC"/>
    <w:rsid w:val="008D67B1"/>
    <w:rsid w:val="008D70DD"/>
    <w:rsid w:val="008E37F8"/>
    <w:rsid w:val="008E717E"/>
    <w:rsid w:val="008F6720"/>
    <w:rsid w:val="009141FD"/>
    <w:rsid w:val="009370D5"/>
    <w:rsid w:val="00940918"/>
    <w:rsid w:val="0095395C"/>
    <w:rsid w:val="009542A1"/>
    <w:rsid w:val="00962E46"/>
    <w:rsid w:val="00963C40"/>
    <w:rsid w:val="00970858"/>
    <w:rsid w:val="009A0CDD"/>
    <w:rsid w:val="009A45B5"/>
    <w:rsid w:val="009B66B4"/>
    <w:rsid w:val="009D5664"/>
    <w:rsid w:val="009E1D89"/>
    <w:rsid w:val="009F4358"/>
    <w:rsid w:val="00A07EDA"/>
    <w:rsid w:val="00A11AFC"/>
    <w:rsid w:val="00A33A30"/>
    <w:rsid w:val="00A37B96"/>
    <w:rsid w:val="00A40CC4"/>
    <w:rsid w:val="00A460A9"/>
    <w:rsid w:val="00A533A1"/>
    <w:rsid w:val="00A6710D"/>
    <w:rsid w:val="00A67A9A"/>
    <w:rsid w:val="00A72309"/>
    <w:rsid w:val="00A75332"/>
    <w:rsid w:val="00A85A39"/>
    <w:rsid w:val="00A9093A"/>
    <w:rsid w:val="00AA2346"/>
    <w:rsid w:val="00AA3A0D"/>
    <w:rsid w:val="00AC7CA8"/>
    <w:rsid w:val="00AE4C31"/>
    <w:rsid w:val="00AE5266"/>
    <w:rsid w:val="00AF76F6"/>
    <w:rsid w:val="00B020F8"/>
    <w:rsid w:val="00B31C66"/>
    <w:rsid w:val="00B52881"/>
    <w:rsid w:val="00B56806"/>
    <w:rsid w:val="00B946F5"/>
    <w:rsid w:val="00BA4F73"/>
    <w:rsid w:val="00BB6668"/>
    <w:rsid w:val="00BD6C01"/>
    <w:rsid w:val="00BD71F6"/>
    <w:rsid w:val="00BE3B99"/>
    <w:rsid w:val="00C024EB"/>
    <w:rsid w:val="00C12227"/>
    <w:rsid w:val="00C26C32"/>
    <w:rsid w:val="00C278D0"/>
    <w:rsid w:val="00C3777E"/>
    <w:rsid w:val="00C6425A"/>
    <w:rsid w:val="00CF5DD6"/>
    <w:rsid w:val="00CF6646"/>
    <w:rsid w:val="00D0511E"/>
    <w:rsid w:val="00D112CE"/>
    <w:rsid w:val="00D1377B"/>
    <w:rsid w:val="00D16CD7"/>
    <w:rsid w:val="00D21263"/>
    <w:rsid w:val="00D3266A"/>
    <w:rsid w:val="00D42FBA"/>
    <w:rsid w:val="00D51312"/>
    <w:rsid w:val="00D53925"/>
    <w:rsid w:val="00D70DAB"/>
    <w:rsid w:val="00D754C0"/>
    <w:rsid w:val="00D76132"/>
    <w:rsid w:val="00DB44BB"/>
    <w:rsid w:val="00DC1F95"/>
    <w:rsid w:val="00DC3457"/>
    <w:rsid w:val="00DE23BF"/>
    <w:rsid w:val="00DF0D82"/>
    <w:rsid w:val="00E060D9"/>
    <w:rsid w:val="00E14D3F"/>
    <w:rsid w:val="00E16B65"/>
    <w:rsid w:val="00E23D9F"/>
    <w:rsid w:val="00E44EC6"/>
    <w:rsid w:val="00E807D5"/>
    <w:rsid w:val="00E9531E"/>
    <w:rsid w:val="00EA5362"/>
    <w:rsid w:val="00EC3594"/>
    <w:rsid w:val="00ED1E45"/>
    <w:rsid w:val="00EF4A29"/>
    <w:rsid w:val="00F0251D"/>
    <w:rsid w:val="00F06835"/>
    <w:rsid w:val="00F1136E"/>
    <w:rsid w:val="00F22D12"/>
    <w:rsid w:val="00F22E9C"/>
    <w:rsid w:val="00F3141D"/>
    <w:rsid w:val="00F4067F"/>
    <w:rsid w:val="00F47CC1"/>
    <w:rsid w:val="00F47EB9"/>
    <w:rsid w:val="00F71F4D"/>
    <w:rsid w:val="00F96341"/>
    <w:rsid w:val="00FC4707"/>
    <w:rsid w:val="00FD5046"/>
    <w:rsid w:val="00FD767D"/>
    <w:rsid w:val="00FF35F2"/>
    <w:rsid w:val="00FF7490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564ED"/>
  <w15:docId w15:val="{8E229932-0EA7-4A96-8444-5DB878E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90</cp:revision>
  <cp:lastPrinted>2024-04-03T07:38:00Z</cp:lastPrinted>
  <dcterms:created xsi:type="dcterms:W3CDTF">2023-10-06T10:16:00Z</dcterms:created>
  <dcterms:modified xsi:type="dcterms:W3CDTF">2024-04-19T11:15:00Z</dcterms:modified>
</cp:coreProperties>
</file>